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ENG4U - </w:t>
      </w:r>
      <w:r w:rsidDel="00000000" w:rsidR="00000000" w:rsidRPr="00000000">
        <w:rPr>
          <w:rFonts w:ascii="Times New Roman" w:cs="Times New Roman" w:eastAsia="Times New Roman" w:hAnsi="Times New Roman"/>
          <w:b w:val="1"/>
          <w:i w:val="1"/>
          <w:sz w:val="24"/>
          <w:szCs w:val="24"/>
          <w:rtl w:val="0"/>
        </w:rPr>
        <w:t xml:space="preserve">Hamlet</w:t>
      </w:r>
      <w:r w:rsidDel="00000000" w:rsidR="00000000" w:rsidRPr="00000000">
        <w:rPr>
          <w:rFonts w:ascii="Times New Roman" w:cs="Times New Roman" w:eastAsia="Times New Roman" w:hAnsi="Times New Roman"/>
          <w:b w:val="1"/>
          <w:sz w:val="24"/>
          <w:szCs w:val="24"/>
          <w:rtl w:val="0"/>
        </w:rPr>
        <w:t xml:space="preserve"> Seminars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seminar presentation is your chance to analyze a scene in </w:t>
      </w:r>
      <w:r w:rsidDel="00000000" w:rsidR="00000000" w:rsidRPr="00000000">
        <w:rPr>
          <w:rFonts w:ascii="Times New Roman" w:cs="Times New Roman" w:eastAsia="Times New Roman" w:hAnsi="Times New Roman"/>
          <w:i w:val="1"/>
          <w:rtl w:val="0"/>
        </w:rPr>
        <w:t xml:space="preserve">Hamlet</w:t>
      </w:r>
      <w:r w:rsidDel="00000000" w:rsidR="00000000" w:rsidRPr="00000000">
        <w:rPr>
          <w:rFonts w:ascii="Times New Roman" w:cs="Times New Roman" w:eastAsia="Times New Roman" w:hAnsi="Times New Roman"/>
          <w:rtl w:val="0"/>
        </w:rPr>
        <w:t xml:space="preserve"> and for you to show up the teacher! Each person will be responsible for the analysis and oral presentation of one scene from either Act IV or Act V.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5200650</wp:posOffset>
            </wp:positionH>
            <wp:positionV relativeFrom="paragraph">
              <wp:posOffset>22225</wp:posOffset>
            </wp:positionV>
            <wp:extent cx="1555750" cy="1870710"/>
            <wp:effectExtent b="0" l="0" r="0" t="0"/>
            <wp:wrapSquare wrapText="bothSides" distB="0" distT="0" distL="114300" distR="114300"/>
            <wp:docPr descr="C:\Users\Client\AppData\Local\Microsoft\Windows\Temporary Internet Files\Content.IE5\GCCSLINI\MC900230749[1].wmf" id="1" name="image2.png"/>
            <a:graphic>
              <a:graphicData uri="http://schemas.openxmlformats.org/drawingml/2006/picture">
                <pic:pic>
                  <pic:nvPicPr>
                    <pic:cNvPr descr="C:\Users\Client\AppData\Local\Microsoft\Windows\Temporary Internet Files\Content.IE5\GCCSLINI\MC900230749[1].wmf" id="0" name="image2.png"/>
                    <pic:cNvPicPr preferRelativeResize="0"/>
                  </pic:nvPicPr>
                  <pic:blipFill>
                    <a:blip r:embed="rId6"/>
                    <a:srcRect b="0" l="0" r="0" t="0"/>
                    <a:stretch>
                      <a:fillRect/>
                    </a:stretch>
                  </pic:blipFill>
                  <pic:spPr>
                    <a:xfrm>
                      <a:off x="0" y="0"/>
                      <a:ext cx="1555750" cy="1870710"/>
                    </a:xfrm>
                    <a:prstGeom prst="rect"/>
                    <a:ln/>
                  </pic:spPr>
                </pic:pic>
              </a:graphicData>
            </a:graphic>
          </wp:anchor>
        </w:drawing>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Presentation Dates: </w:t>
      </w:r>
      <w:r w:rsidDel="00000000" w:rsidR="00000000" w:rsidRPr="00000000">
        <w:rPr>
          <w:rFonts w:ascii="Times New Roman" w:cs="Times New Roman" w:eastAsia="Times New Roman" w:hAnsi="Times New Roman"/>
          <w:rtl w:val="0"/>
        </w:rPr>
        <w:t xml:space="preserve">Monday Dec. 18th, 2017    </w:t>
        <w:tab/>
        <w:t xml:space="preserve">Tuesday Dec. 19th, 2017</w:t>
      </w:r>
    </w:p>
    <w:p w:rsidR="00000000" w:rsidDel="00000000" w:rsidP="00000000" w:rsidRDefault="00000000" w:rsidRPr="00000000">
      <w:pP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Below is a list of scenes to choose from: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Presenter 1: Act IV, Scenes I &amp; II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Monday Presenter 2: Act IV, Scenes III &amp; IV</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Tuesday Presenter 3: Act IV, Scenes V &amp; VI</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Tuesday Presenter 4: Act IV, Scene VII &amp; Act V, Scene I</w:t>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prepare for the seminar, each presenter will: </w:t>
      </w:r>
    </w:p>
    <w:p w:rsidR="00000000" w:rsidDel="00000000" w:rsidP="00000000" w:rsidRDefault="00000000" w:rsidRPr="00000000">
      <w:pPr>
        <w:numPr>
          <w:ilvl w:val="0"/>
          <w:numId w:val="3"/>
        </w:numPr>
        <w:spacing w:line="240" w:lineRule="auto"/>
        <w:ind w:left="720" w:hanging="360"/>
        <w:contextualSpacing w:val="0"/>
        <w:rPr/>
      </w:pPr>
      <w:r w:rsidDel="00000000" w:rsidR="00000000" w:rsidRPr="00000000">
        <w:rPr>
          <w:rFonts w:ascii="Times New Roman" w:cs="Times New Roman" w:eastAsia="Times New Roman" w:hAnsi="Times New Roman"/>
          <w:rtl w:val="0"/>
        </w:rPr>
        <w:t xml:space="preserve">Re-read the scene out loud. </w:t>
      </w:r>
    </w:p>
    <w:p w:rsidR="00000000" w:rsidDel="00000000" w:rsidP="00000000" w:rsidRDefault="00000000" w:rsidRPr="00000000">
      <w:pPr>
        <w:numPr>
          <w:ilvl w:val="0"/>
          <w:numId w:val="3"/>
        </w:numPr>
        <w:spacing w:line="240" w:lineRule="auto"/>
        <w:ind w:left="720" w:hanging="360"/>
        <w:contextualSpacing w:val="0"/>
        <w:rPr/>
      </w:pPr>
      <w:r w:rsidDel="00000000" w:rsidR="00000000" w:rsidRPr="00000000">
        <w:rPr>
          <w:rFonts w:ascii="Times New Roman" w:cs="Times New Roman" w:eastAsia="Times New Roman" w:hAnsi="Times New Roman"/>
          <w:rtl w:val="0"/>
        </w:rPr>
        <w:t xml:space="preserve">Consult 2 reputable sources to help decode significant aspects of the scene. This will be included in a works cited page. </w:t>
      </w:r>
    </w:p>
    <w:p w:rsidR="00000000" w:rsidDel="00000000" w:rsidP="00000000" w:rsidRDefault="00000000" w:rsidRPr="00000000">
      <w:pP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for Success:</w:t>
      </w:r>
    </w:p>
    <w:p w:rsidR="00000000" w:rsidDel="00000000" w:rsidP="00000000" w:rsidRDefault="00000000" w:rsidRPr="00000000">
      <w:pPr>
        <w:numPr>
          <w:ilvl w:val="0"/>
          <w:numId w:val="1"/>
        </w:numPr>
        <w:spacing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the class with a detailed handout that provides important information from your seminar. This must be printed, and ready, at the start of your seminar. </w:t>
      </w:r>
    </w:p>
    <w:p w:rsidR="00000000" w:rsidDel="00000000" w:rsidP="00000000" w:rsidRDefault="00000000" w:rsidRPr="00000000">
      <w:pPr>
        <w:numPr>
          <w:ilvl w:val="0"/>
          <w:numId w:val="1"/>
        </w:numPr>
        <w:spacing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Orally apply </w:t>
      </w:r>
      <w:r w:rsidDel="00000000" w:rsidR="00000000" w:rsidRPr="00000000">
        <w:rPr>
          <w:rFonts w:ascii="Times New Roman" w:cs="Times New Roman" w:eastAsia="Times New Roman" w:hAnsi="Times New Roman"/>
          <w:b w:val="1"/>
          <w:rtl w:val="0"/>
        </w:rPr>
        <w:t xml:space="preserve">ONE (1)</w:t>
      </w:r>
      <w:r w:rsidDel="00000000" w:rsidR="00000000" w:rsidRPr="00000000">
        <w:rPr>
          <w:rFonts w:ascii="Times New Roman" w:cs="Times New Roman" w:eastAsia="Times New Roman" w:hAnsi="Times New Roman"/>
          <w:rtl w:val="0"/>
        </w:rPr>
        <w:t xml:space="preserve"> literary criticism to the scene (i.e., Marxist, Feminist, and/or Psychoanalytic). </w:t>
      </w:r>
    </w:p>
    <w:p w:rsidR="00000000" w:rsidDel="00000000" w:rsidP="00000000" w:rsidRDefault="00000000" w:rsidRPr="00000000">
      <w:pPr>
        <w:numPr>
          <w:ilvl w:val="0"/>
          <w:numId w:val="1"/>
        </w:numPr>
        <w:spacing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 close reading of a quotation from your scene listed below; your task is to do a close reading to the class and explain why it is significant to your scene. </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IV, scene i &amp; ii (lines 12-22)</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IV, scene iii (lines 39-45)</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IV, scene v (lines 4-13) OR (lines 153-162)</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IV, scene vii  (lines 9-24) OR (lines 137-154)</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V, scene i (lines 171-180)</w:t>
      </w:r>
    </w:p>
    <w:p w:rsidR="00000000" w:rsidDel="00000000" w:rsidP="00000000" w:rsidRDefault="00000000" w:rsidRPr="00000000">
      <w:pPr>
        <w:numPr>
          <w:ilvl w:val="0"/>
          <w:numId w:val="2"/>
        </w:numPr>
        <w:spacing w:line="240" w:lineRule="auto"/>
        <w:ind w:left="2160" w:hanging="360"/>
        <w:contextualSpacing w:val="0"/>
        <w:rPr/>
      </w:pPr>
      <w:r w:rsidDel="00000000" w:rsidR="00000000" w:rsidRPr="00000000">
        <w:rPr>
          <w:rFonts w:ascii="Times New Roman" w:cs="Times New Roman" w:eastAsia="Times New Roman" w:hAnsi="Times New Roman"/>
          <w:rtl w:val="0"/>
        </w:rPr>
        <w:t xml:space="preserve">Act V, scene ii (lines 163-181)</w:t>
      </w:r>
    </w:p>
    <w:p w:rsidR="00000000" w:rsidDel="00000000" w:rsidP="00000000" w:rsidRDefault="00000000" w:rsidRPr="00000000">
      <w:pPr>
        <w:numPr>
          <w:ilvl w:val="0"/>
          <w:numId w:val="1"/>
        </w:numPr>
        <w:spacing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a theme(s) demonstrated in your scene. You will explain how the theme is constructed, and on your class handout, you should include specific lines that demonstrate the theme.</w:t>
      </w:r>
    </w:p>
    <w:p w:rsidR="00000000" w:rsidDel="00000000" w:rsidP="00000000" w:rsidRDefault="00000000" w:rsidRPr="00000000">
      <w:pPr>
        <w:numPr>
          <w:ilvl w:val="0"/>
          <w:numId w:val="1"/>
        </w:numPr>
        <w:spacing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make a case for why your scene needs to be included in any film adaption of the play. Your argument must be based around how your scene contributes to the play on a larger scale. For example, how does your scene develop character, plot, theme, image network, etc.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will be orally presenting your ideas, I will require you to write your argument and analysis in a formal paragraph. Please give your paragraph an interesting and captivating title. I will collect this on the day you present. When presenting, avoid simply reading your analysis to the class; I will provide you with a cue card so you can include major ideas.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Critical Theory Resources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help you with your literary analysis, you may want to access the sites and academic articles below. They are by no means exclusive and you may wish to do additional research to find other articles analyzing </w:t>
      </w:r>
      <w:r w:rsidDel="00000000" w:rsidR="00000000" w:rsidRPr="00000000">
        <w:rPr>
          <w:rFonts w:ascii="Times New Roman" w:cs="Times New Roman" w:eastAsia="Times New Roman" w:hAnsi="Times New Roman"/>
          <w:i w:val="1"/>
          <w:sz w:val="24"/>
          <w:szCs w:val="24"/>
          <w:rtl w:val="0"/>
        </w:rPr>
        <w:t xml:space="preserve">Hamlet</w:t>
      </w:r>
      <w:r w:rsidDel="00000000" w:rsidR="00000000" w:rsidRPr="00000000">
        <w:rPr>
          <w:rFonts w:ascii="Times New Roman" w:cs="Times New Roman" w:eastAsia="Times New Roman" w:hAnsi="Times New Roman"/>
          <w:sz w:val="24"/>
          <w:szCs w:val="24"/>
          <w:rtl w:val="0"/>
        </w:rPr>
        <w:t xml:space="preserve"> from your critical lens.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Literary Theory &amp; Contemporary Theoretical Approaches </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Purdue OWL Family of Sites</w:t>
      </w:r>
      <w:r w:rsidDel="00000000" w:rsidR="00000000" w:rsidRPr="00000000">
        <w:rPr>
          <w:rFonts w:ascii="Times New Roman" w:cs="Times New Roman" w:eastAsia="Times New Roman" w:hAnsi="Times New Roman"/>
          <w:color w:val="000000"/>
          <w:sz w:val="24"/>
          <w:szCs w:val="24"/>
          <w:rtl w:val="0"/>
        </w:rPr>
        <w:t xml:space="preserve">. The Writing Lab and OWL at Purdue and Purdue U, 2012. Web. 8 Apr. 2014.</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hyperlink r:id="rId7">
        <w:r w:rsidDel="00000000" w:rsidR="00000000" w:rsidRPr="00000000">
          <w:rPr>
            <w:rFonts w:ascii="Times New Roman" w:cs="Times New Roman" w:eastAsia="Times New Roman" w:hAnsi="Times New Roman"/>
            <w:color w:val="0000ff"/>
            <w:sz w:val="24"/>
            <w:szCs w:val="24"/>
            <w:u w:val="single"/>
            <w:rtl w:val="0"/>
          </w:rPr>
          <w:t xml:space="preserve">https://owl.english.purdue.edu/owl/resource/722/1/</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Feminist Theory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ind w:left="709" w:hanging="709"/>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Showalter, Elaine. “Representing Ophelia: Women, Madness, and the Responsibilities of Feminist Criticism.” </w:t>
      </w:r>
      <w:r w:rsidDel="00000000" w:rsidR="00000000" w:rsidRPr="00000000">
        <w:rPr>
          <w:rFonts w:ascii="Times New Roman" w:cs="Times New Roman" w:eastAsia="Times New Roman" w:hAnsi="Times New Roman"/>
          <w:i w:val="1"/>
          <w:color w:val="000000"/>
          <w:sz w:val="24"/>
          <w:szCs w:val="24"/>
          <w:rtl w:val="0"/>
        </w:rPr>
        <w:t xml:space="preserve">Shakespeare and the Question of Theory</w:t>
      </w:r>
      <w:r w:rsidDel="00000000" w:rsidR="00000000" w:rsidRPr="00000000">
        <w:rPr>
          <w:rFonts w:ascii="Times New Roman" w:cs="Times New Roman" w:eastAsia="Times New Roman" w:hAnsi="Times New Roman"/>
          <w:color w:val="000000"/>
          <w:sz w:val="24"/>
          <w:szCs w:val="24"/>
          <w:rtl w:val="0"/>
        </w:rPr>
        <w:t xml:space="preserve">. Eds. Patricia Parker &amp; Geoffrey Hartman. </w:t>
      </w:r>
      <w:r w:rsidDel="00000000" w:rsidR="00000000" w:rsidRPr="00000000">
        <w:rPr>
          <w:rFonts w:ascii="Times New Roman" w:cs="Times New Roman" w:eastAsia="Times New Roman" w:hAnsi="Times New Roman"/>
          <w:sz w:val="24"/>
          <w:szCs w:val="24"/>
          <w:rtl w:val="0"/>
        </w:rPr>
        <w:t xml:space="preserve">New York: Methuen, 1985. 77-94. Print.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hyperlink r:id="rId8">
        <w:r w:rsidDel="00000000" w:rsidR="00000000" w:rsidRPr="00000000">
          <w:rPr>
            <w:rFonts w:ascii="Times New Roman" w:cs="Times New Roman" w:eastAsia="Times New Roman" w:hAnsi="Times New Roman"/>
            <w:color w:val="1155cc"/>
            <w:sz w:val="24"/>
            <w:szCs w:val="24"/>
            <w:u w:val="single"/>
            <w:rtl w:val="0"/>
          </w:rPr>
          <w:t xml:space="preserve">http://www.houseofideas.com/mscornelius/resources/hamlet/hamlet_vol_59__elaine_showalter_essay_date_1985_276850-.pdf</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Psychoanalytic Theory</w:t>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spacing w:line="240" w:lineRule="auto"/>
        <w:ind w:left="709" w:hanging="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Coursen, H.R. </w:t>
      </w:r>
      <w:r w:rsidDel="00000000" w:rsidR="00000000" w:rsidRPr="00000000">
        <w:rPr>
          <w:rFonts w:ascii="Times New Roman" w:cs="Times New Roman" w:eastAsia="Times New Roman" w:hAnsi="Times New Roman"/>
          <w:sz w:val="24"/>
          <w:szCs w:val="24"/>
          <w:rtl w:val="0"/>
        </w:rPr>
        <w:t xml:space="preserve">“'Who's There?': Hamlet.” </w:t>
      </w:r>
      <w:r w:rsidDel="00000000" w:rsidR="00000000" w:rsidRPr="00000000">
        <w:rPr>
          <w:rFonts w:ascii="Times New Roman" w:cs="Times New Roman" w:eastAsia="Times New Roman" w:hAnsi="Times New Roman"/>
          <w:i w:val="1"/>
          <w:sz w:val="24"/>
          <w:szCs w:val="24"/>
          <w:rtl w:val="0"/>
        </w:rPr>
        <w:t xml:space="preserve">The Compensatory Psyche: A Jungian Approach to Shakespeare</w:t>
      </w:r>
      <w:r w:rsidDel="00000000" w:rsidR="00000000" w:rsidRPr="00000000">
        <w:rPr>
          <w:rFonts w:ascii="Times New Roman" w:cs="Times New Roman" w:eastAsia="Times New Roman" w:hAnsi="Times New Roman"/>
          <w:sz w:val="24"/>
          <w:szCs w:val="24"/>
          <w:rtl w:val="0"/>
        </w:rPr>
        <w:t xml:space="preserve">. Lanham: University Press of America, 1986. 63-99. Print. </w:t>
      </w:r>
    </w:p>
    <w:p w:rsidR="00000000" w:rsidDel="00000000" w:rsidP="00000000" w:rsidRDefault="00000000" w:rsidRPr="00000000">
      <w:pPr>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Link: </w:t>
      </w:r>
      <w:hyperlink r:id="rId9">
        <w:r w:rsidDel="00000000" w:rsidR="00000000" w:rsidRPr="00000000">
          <w:rPr>
            <w:rFonts w:ascii="Times" w:cs="Times" w:eastAsia="Times" w:hAnsi="Times"/>
            <w:color w:val="0000ff"/>
            <w:sz w:val="20"/>
            <w:szCs w:val="20"/>
            <w:u w:val="single"/>
            <w:rtl w:val="0"/>
          </w:rPr>
          <w:t xml:space="preserve">http://www.houseofideas.com/mscornelius/resources/hamlet/hamlet_vol_44__psychoanalytic_interpretations_277205-.pdf</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ind w:left="709" w:hanging="709"/>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Rothman, Joshua. “</w:t>
      </w:r>
      <w:r w:rsidDel="00000000" w:rsidR="00000000" w:rsidRPr="00000000">
        <w:rPr>
          <w:rFonts w:ascii="Times New Roman" w:cs="Times New Roman" w:eastAsia="Times New Roman" w:hAnsi="Times New Roman"/>
          <w:i w:val="1"/>
          <w:color w:val="000000"/>
          <w:sz w:val="24"/>
          <w:szCs w:val="24"/>
          <w:rtl w:val="0"/>
        </w:rPr>
        <w:t xml:space="preserve">Hamlet</w:t>
      </w:r>
      <w:r w:rsidDel="00000000" w:rsidR="00000000" w:rsidRPr="00000000">
        <w:rPr>
          <w:rFonts w:ascii="Times New Roman" w:cs="Times New Roman" w:eastAsia="Times New Roman" w:hAnsi="Times New Roman"/>
          <w:color w:val="000000"/>
          <w:sz w:val="24"/>
          <w:szCs w:val="24"/>
          <w:rtl w:val="0"/>
        </w:rPr>
        <w:t xml:space="preserve">: A Love St</w:t>
      </w:r>
      <w:hyperlink r:id="rId10">
        <w:r w:rsidDel="00000000" w:rsidR="00000000" w:rsidRPr="00000000">
          <w:rPr>
            <w:rFonts w:ascii="Times New Roman" w:cs="Times New Roman" w:eastAsia="Times New Roman" w:hAnsi="Times New Roman"/>
            <w:color w:val="1155cc"/>
            <w:sz w:val="24"/>
            <w:szCs w:val="24"/>
            <w:u w:val="single"/>
            <w:rtl w:val="0"/>
          </w:rPr>
          <w:t xml:space="preserve">http://www.houseofideas.com/mscornelius/resources/hamlet/hamlet_vol_44__psychoanalytic_interpretations_277205-.pdf</w:t>
        </w:r>
      </w:hyperlink>
      <w:r w:rsidDel="00000000" w:rsidR="00000000" w:rsidRPr="00000000">
        <w:rPr>
          <w:rFonts w:ascii="Times New Roman" w:cs="Times New Roman" w:eastAsia="Times New Roman" w:hAnsi="Times New Roman"/>
          <w:color w:val="000000"/>
          <w:sz w:val="24"/>
          <w:szCs w:val="24"/>
          <w:rtl w:val="0"/>
        </w:rPr>
        <w:t xml:space="preserve">ory.” </w:t>
      </w:r>
      <w:r w:rsidDel="00000000" w:rsidR="00000000" w:rsidRPr="00000000">
        <w:rPr>
          <w:rFonts w:ascii="Times New Roman" w:cs="Times New Roman" w:eastAsia="Times New Roman" w:hAnsi="Times New Roman"/>
          <w:i w:val="1"/>
          <w:color w:val="000000"/>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New Yorker</w:t>
      </w:r>
      <w:r w:rsidDel="00000000" w:rsidR="00000000" w:rsidRPr="00000000">
        <w:rPr>
          <w:rFonts w:ascii="Times New Roman" w:cs="Times New Roman" w:eastAsia="Times New Roman" w:hAnsi="Times New Roman"/>
          <w:color w:val="000000"/>
          <w:sz w:val="24"/>
          <w:szCs w:val="24"/>
          <w:rtl w:val="0"/>
        </w:rPr>
        <w:t xml:space="preserve">. The New Yorker Magazine, 14 August 2013. Web. 11 April 2014.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hyperlink r:id="rId11">
        <w:r w:rsidDel="00000000" w:rsidR="00000000" w:rsidRPr="00000000">
          <w:rPr>
            <w:rFonts w:ascii="Times New Roman" w:cs="Times New Roman" w:eastAsia="Times New Roman" w:hAnsi="Times New Roman"/>
            <w:color w:val="0000ff"/>
            <w:sz w:val="24"/>
            <w:szCs w:val="24"/>
            <w:u w:val="single"/>
            <w:rtl w:val="0"/>
          </w:rPr>
          <w:t xml:space="preserve">http://www.newyorker.com/online/blogs/books/2013/08/hamlet-a-love-story.html</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Marxist Theory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Saylor Foundation – Marxist Theory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hyperlink r:id="rId12">
        <w:r w:rsidDel="00000000" w:rsidR="00000000" w:rsidRPr="00000000">
          <w:rPr>
            <w:rFonts w:ascii="Times New Roman" w:cs="Times New Roman" w:eastAsia="Times New Roman" w:hAnsi="Times New Roman"/>
            <w:color w:val="0000ff"/>
            <w:sz w:val="24"/>
            <w:szCs w:val="24"/>
            <w:u w:val="single"/>
            <w:rtl w:val="0"/>
          </w:rPr>
          <w:t xml:space="preserve">http://www.saylor.org/site/wp-content/uploads/2011/09/ENGL301-Marxist-Theory.pdf</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Davaran-</w:t>
      </w:r>
      <w:r w:rsidDel="00000000" w:rsidR="00000000" w:rsidRPr="00000000">
        <w:rPr>
          <w:rFonts w:ascii="Times New Roman" w:cs="Times New Roman" w:eastAsia="Times New Roman" w:hAnsi="Times New Roman"/>
          <w:i w:val="1"/>
          <w:color w:val="000000"/>
          <w:sz w:val="24"/>
          <w:szCs w:val="24"/>
          <w:rtl w:val="0"/>
        </w:rPr>
        <w:t xml:space="preserve">Hamlet</w:t>
      </w:r>
      <w:r w:rsidDel="00000000" w:rsidR="00000000" w:rsidRPr="00000000">
        <w:rPr>
          <w:rFonts w:ascii="Times New Roman" w:cs="Times New Roman" w:eastAsia="Times New Roman" w:hAnsi="Times New Roman"/>
          <w:color w:val="000000"/>
          <w:sz w:val="24"/>
          <w:szCs w:val="24"/>
          <w:rtl w:val="0"/>
        </w:rPr>
        <w:t xml:space="preserve">: A Guide to Politics</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hyperlink r:id="rId13">
        <w:r w:rsidDel="00000000" w:rsidR="00000000" w:rsidRPr="00000000">
          <w:rPr>
            <w:rFonts w:ascii="Times New Roman" w:cs="Times New Roman" w:eastAsia="Times New Roman" w:hAnsi="Times New Roman"/>
            <w:color w:val="0000ff"/>
            <w:sz w:val="24"/>
            <w:szCs w:val="24"/>
            <w:u w:val="single"/>
            <w:rtl w:val="0"/>
          </w:rPr>
          <w:t xml:space="preserve">http://www.tiphane.org/guy/portfolio/hamletpolitics.htm</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handed-in on the due date?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handout (one per student, and one for the teacher)</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critical analysis paragraph with a works cited page</w:t>
      </w:r>
      <w:r w:rsidDel="00000000" w:rsidR="00000000" w:rsidRPr="00000000">
        <w:rPr>
          <w:rFonts w:ascii="Times New Roman" w:cs="Times New Roman" w:eastAsia="Times New Roman" w:hAnsi="Times New Roman"/>
          <w:sz w:val="24"/>
          <w:szCs w:val="24"/>
          <w:rtl w:val="0"/>
        </w:rPr>
        <w:t xml:space="preserve">, attached to the back of this assignment handout</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(50-59%)</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(60-69%)</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(70-79%)</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written paragraph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limited knowledge and understanding of analysis through a written response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some knowledge and understanding of analysis through a written response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considerable knowledge and understanding of analysis through a written response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thorough knowledge and understanding of analysis through a written 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 used to support analysis (use of academic resources); effectiveness of theme and close reading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critical inquiry skills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critical inquiry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critical inquiry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critical inquiry skills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of powerpoint; Volume, expression, tone, pace, eye contact, well-rehearsed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and organizes powerpoint, handouts, and personal engagement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and organizes powerpoint, handouts, and personal engagement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and organizes powerpoint, handouts, and personal engagement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and organizes powerpoint, handouts, and personal engagement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 o</w:t>
            </w:r>
            <w:r w:rsidDel="00000000" w:rsidR="00000000" w:rsidRPr="00000000">
              <w:rPr>
                <w:rFonts w:ascii="Times New Roman" w:cs="Times New Roman" w:eastAsia="Times New Roman" w:hAnsi="Times New Roman"/>
                <w:sz w:val="24"/>
                <w:szCs w:val="24"/>
                <w:rtl w:val="0"/>
              </w:rPr>
              <w:t xml:space="preserve">f literary criticism to your scenes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Applies literary criticism to scenes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Applies literary criticism to scenes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Applies literary criticism to scenes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Applies literary criticism to scenes with a high degree of effectiveness</w:t>
            </w:r>
          </w:p>
        </w:tc>
      </w:tr>
    </w:tbl>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headerReference r:id="rId14" w:type="default"/>
          <w:footerReference r:id="rId15" w:type="default"/>
          <w:pgSz w:h="12240" w:w="15840"/>
          <w:pgMar w:bottom="720" w:top="720" w:left="720" w:right="720" w:header="709" w:footer="709"/>
          <w:pgNumType w:start="1"/>
        </w:sect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type w:val="continuous"/>
      <w:pgSz w:h="12240" w:w="15840"/>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ENG4U – </w:t>
    </w:r>
    <w:r w:rsidDel="00000000" w:rsidR="00000000" w:rsidRPr="00000000">
      <w:rPr>
        <w:rFonts w:ascii="Times New Roman" w:cs="Times New Roman" w:eastAsia="Times New Roman" w:hAnsi="Times New Roman"/>
        <w:sz w:val="20"/>
        <w:szCs w:val="20"/>
        <w:rtl w:val="0"/>
      </w:rPr>
      <w:t xml:space="preserve">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ewyorker.com/online/blogs/books/2013/08/hamlet-a-love-story.html" TargetMode="External"/><Relationship Id="rId10" Type="http://schemas.openxmlformats.org/officeDocument/2006/relationships/hyperlink" Target="http://www.houseofideas.com/mscornelius/resources/hamlet/hamlet_vol_44__psychoanalytic_interpretations_277205-.pdf" TargetMode="External"/><Relationship Id="rId13" Type="http://schemas.openxmlformats.org/officeDocument/2006/relationships/hyperlink" Target="http://www.tiphane.org/guy/portfolio/hamletpolitics.htm" TargetMode="External"/><Relationship Id="rId12" Type="http://schemas.openxmlformats.org/officeDocument/2006/relationships/hyperlink" Target="http://www.saylor.org/site/wp-content/uploads/2011/09/ENGL301-Marxist-Theor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useofideas.com/mscornelius/resources/hamlet/hamlet_vol_44__psychoanalytic_interpretations_277205-.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owl.english.purdue.edu/owl/resource/722/1/" TargetMode="External"/><Relationship Id="rId8" Type="http://schemas.openxmlformats.org/officeDocument/2006/relationships/hyperlink" Target="http://www.houseofideas.com/mscornelius/resources/hamlet/hamlet_vol_59__elaine_showalter_essay_date_1985_2768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